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67DE6443"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AF44D7">
        <w:rPr>
          <w:rFonts w:ascii="ＭＳ Ｐゴシック" w:eastAsia="ＭＳ Ｐゴシック" w:hAnsi="ＭＳ Ｐゴシック" w:hint="eastAsia"/>
          <w:bCs/>
          <w:kern w:val="0"/>
          <w:sz w:val="36"/>
          <w:bdr w:val="single" w:sz="4" w:space="0" w:color="auto"/>
        </w:rPr>
        <w:t>（かがやき）</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20CCD678"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5EC344F0"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ディープテック分野はＡ～Ｄのいずれかに</w:t>
      </w:r>
      <w:r w:rsidRPr="00DA4760">
        <w:rPr>
          <w:rFonts w:ascii="ＭＳ Ｐ明朝" w:eastAsia="ＭＳ Ｐ明朝" w:hAnsi="ＭＳ Ｐ明朝"/>
          <w:szCs w:val="22"/>
        </w:rPr>
        <w:t>☑</w:t>
      </w:r>
    </w:p>
    <w:p w14:paraId="04389943" w14:textId="7D98711D"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 xml:space="preserve">　　　□A：医療（医療、創薬、介護、福祉等）</w:t>
      </w:r>
    </w:p>
    <w:p w14:paraId="0A5C4C4D"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 xml:space="preserve">　　　□Ｂ：テック（モビリティ、グリーンテック、ITテクノロジー(AI応用含む)、機械、材料等）</w:t>
      </w:r>
    </w:p>
    <w:p w14:paraId="11E7D8DA"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 xml:space="preserve">　　　□Ｃ：環境（環境、食品、アグリテック、エネルギー、バイオ等、Climate Tech分野等）</w:t>
      </w:r>
    </w:p>
    <w:p w14:paraId="0676E37D"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 xml:space="preserve">　　　□Ｄ：その他（上記Ａ～Ｃに属さないディープテック分野等）</w:t>
      </w:r>
    </w:p>
    <w:p w14:paraId="1A01E00B"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社会的インパクト分野はＥに</w:t>
      </w:r>
      <w:r w:rsidRPr="00DA4760">
        <w:rPr>
          <w:rFonts w:ascii="ＭＳ Ｐ明朝" w:eastAsia="ＭＳ Ｐ明朝" w:hAnsi="ＭＳ Ｐ明朝"/>
          <w:szCs w:val="22"/>
        </w:rPr>
        <w:t>☑</w:t>
      </w:r>
    </w:p>
    <w:p w14:paraId="54FCD139" w14:textId="77777777" w:rsidR="00DA4760" w:rsidRPr="00DA4760"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 xml:space="preserve">　　　□Ｅ：地域・その他（地域(観光、交通等)、災害レジリエント、環境*、芸術、教育、社会科学等）</w:t>
      </w:r>
    </w:p>
    <w:p w14:paraId="04939862" w14:textId="01F35FA3" w:rsidR="0060744D" w:rsidRDefault="00DA4760" w:rsidP="00DA4760">
      <w:pPr>
        <w:jc w:val="left"/>
        <w:rPr>
          <w:rFonts w:ascii="ＭＳ Ｐ明朝" w:eastAsia="ＭＳ Ｐ明朝" w:hAnsi="ＭＳ Ｐ明朝"/>
          <w:szCs w:val="22"/>
        </w:rPr>
      </w:pPr>
      <w:r w:rsidRPr="00DA4760">
        <w:rPr>
          <w:rFonts w:ascii="ＭＳ Ｐ明朝" w:eastAsia="ＭＳ Ｐ明朝" w:hAnsi="ＭＳ Ｐ明朝" w:hint="eastAsia"/>
          <w:szCs w:val="22"/>
        </w:rPr>
        <w:t>*ディープテックを用いた基本特許を活用する環境ビジネスは、ディープテック分野で提案をしてください。</w:t>
      </w:r>
    </w:p>
    <w:p w14:paraId="6C2FC044" w14:textId="2A123076" w:rsidR="00231D60" w:rsidRDefault="00DA4760" w:rsidP="00DA4760">
      <w:pPr>
        <w:jc w:val="left"/>
        <w:rPr>
          <w:rFonts w:ascii="ＭＳ 明朝" w:hAnsi="ＭＳ 明朝"/>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4D95FFE">
                <wp:simplePos x="0" y="0"/>
                <wp:positionH relativeFrom="margin">
                  <wp:align>right</wp:align>
                </wp:positionH>
                <wp:positionV relativeFrom="paragraph">
                  <wp:posOffset>41564</wp:posOffset>
                </wp:positionV>
                <wp:extent cx="4373706" cy="1246909"/>
                <wp:effectExtent l="0" t="0" r="27305" b="1079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73706" cy="1246909"/>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93.2pt;margin-top:3.25pt;width:344.4pt;height:98.2pt;z-index:252161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GXUAIAAK4EAAAOAAAAZHJzL2Uyb0RvYy54bWysVMlu2zAQvRfoPxC815L3WLAcuA5cFDCS&#10;AE6RM01RlhCKw5K0JffrO6TkpUlPRX2gOQtnefNG8/umkuQojC1BpbTfiykRikNWqn1Kf7ysv9xR&#10;Yh1TGZOgREpPwtL7xedP81onYgAFyEwYgkGUTWqd0sI5nUSR5YWomO2BFgqNOZiKORTNPsoMqzF6&#10;JaNBHE+iGkymDXBhLWofWiNdhPh5Lrh7ynMrHJEpxdpcOE04d/6MFnOW7A3TRcm7Mtg/VFGxUmHS&#10;S6gH5hg5mPJDqKrkBizkrsehiiDPSy5CD9hNP37XzbZgWoReEByrLzDZ/xeWPx63+tkQ13yFBgcY&#10;mrB6A/zNIjZRrW3S+XhMbWLR2zfa5Kby/9gCwYeI7emCp2gc4agcDafDaTyhhKOtPxhNZvHMIx5d&#10;n2tj3TcBFfGXlBocWCiBHTfWta5nF5/NgiyzdSllEE52JQ05MpwtUiKDmhLJrENlStfh12X745lU&#10;pE7pZDiO22ZvQ/pcl5g7yfjbxwhYvVQdNC0aHhfX7BpSZikd+xdes4PshMgaaElnNV+XGH6DFT4z&#10;gyxDzHBz3BMeuQSsCbobJQWYX3/Te38cPlopqZG1KbU/D8wIbPy7QlrM+qORp3kQRuPpAAVza9nd&#10;WtShWgGC18cd1Txcvb+T52tuoHrFBVv6rGhiimPulLrzdeXaXcIF5WK5DE5IbM3cRm01PxPKw/rS&#10;vDKjuzk7pMgjnPnNknfjbn39jBUsDw7yMnDhimoHPy5FYFO3wH7rbuXgdf3MLH4DAAD//wMAUEsD&#10;BBQABgAIAAAAIQBoIaG63QAAAAYBAAAPAAAAZHJzL2Rvd25yZXYueG1sTI9BS8NAFITvgv9heYI3&#10;uzHSkMa8lLZQWk9iFcTbJvuahGTfhuw2jf/e9aTHYYaZb/L1bHox0ehaywiPiwgEcWV1yzXCx/v+&#10;IQXhvGKtesuE8E0O1sXtTa4yba/8RtPJ1yKUsMsUQuP9kEnpqoaMcgs7EAfvbEejfJBjLfWorqHc&#10;9DKOokQa1XJYaNRAu4aq7nQxCJvXl/LoqqfzpLsdHT63Q7f6WiLe382bZxCeZv8Xhl/8gA5FYCrt&#10;hbUTPUI44hGSJYhgJmkafpQIcRSvQBa5/I9f/AAAAP//AwBQSwECLQAUAAYACAAAACEAtoM4kv4A&#10;AADhAQAAEwAAAAAAAAAAAAAAAAAAAAAAW0NvbnRlbnRfVHlwZXNdLnhtbFBLAQItABQABgAIAAAA&#10;IQA4/SH/1gAAAJQBAAALAAAAAAAAAAAAAAAAAC8BAABfcmVscy8ucmVsc1BLAQItABQABgAIAAAA&#10;IQDAvpGXUAIAAK4EAAAOAAAAAAAAAAAAAAAAAC4CAABkcnMvZTJvRG9jLnhtbFBLAQItABQABgAI&#10;AAAAIQBoIaG63QAAAAYBAAAPAAAAAAAAAAAAAAAAAKoEAABkcnMvZG93bnJldi54bWxQSwUGAAAA&#10;AAQABADzAAAAtAU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w10:wrap anchorx="margin"/>
              </v:shape>
            </w:pict>
          </mc:Fallback>
        </mc:AlternateContent>
      </w:r>
    </w:p>
    <w:p w14:paraId="7E3B1142" w14:textId="5B7E38C0"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1779B9B8" w14:textId="195D0DC0" w:rsidR="006E1CA8" w:rsidRDefault="006E1CA8" w:rsidP="007738CB">
      <w:pPr>
        <w:rPr>
          <w:rFonts w:ascii="ＭＳ 明朝" w:hAnsi="ＭＳ 明朝"/>
        </w:rPr>
      </w:pPr>
    </w:p>
    <w:p w14:paraId="111A9D40" w14:textId="2D51800D" w:rsidR="006E1CA8" w:rsidRPr="00C078B2" w:rsidRDefault="006E1CA8" w:rsidP="007738CB">
      <w:pPr>
        <w:rPr>
          <w:rFonts w:ascii="ＭＳ 明朝" w:hAnsi="ＭＳ 明朝"/>
        </w:rPr>
      </w:pPr>
    </w:p>
    <w:p w14:paraId="4472CFBC" w14:textId="73562745"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6B81981F"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4B2D79BA" w:rsidR="008D1444" w:rsidRDefault="00DA4760"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542CC03">
                <wp:simplePos x="0" y="0"/>
                <wp:positionH relativeFrom="column">
                  <wp:posOffset>3087873</wp:posOffset>
                </wp:positionH>
                <wp:positionV relativeFrom="paragraph">
                  <wp:posOffset>30348</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43.15pt;margin-top:2.4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e3o9Xt8AAAAJAQAADwAAAGRycy9kb3ducmV2LnhtbEyPQUvDQBCF74L/YRnBm920&#10;0ZLGbEpbEO1JrIJ422SnSUh2NmS3afz3nZ70No/38ea9bD3ZTow4+MaRgvksAoFUOtNQpeDr8+Uh&#10;AeGDJqM7R6jgFz2s89ubTKfGnekDx0OoBIeQT7WCOoQ+ldKXNVrtZ65HYu/oBqsDy6GSZtBnDred&#10;XETRUlrdEH+odY+7Gsv2cLIKNu/74s2X8XE07Q5fv7d9u/p5Uur+bto8gwg4hT8YrvW5OuTcqXAn&#10;Ml50Ch6TZczo9QDB/iqOWBcMzpMEZJ7J/wvyCwAAAP//AwBQSwECLQAUAAYACAAAACEAtoM4kv4A&#10;AADhAQAAEwAAAAAAAAAAAAAAAAAAAAAAW0NvbnRlbnRfVHlwZXNdLnhtbFBLAQItABQABgAIAAAA&#10;IQA4/SH/1gAAAJQBAAALAAAAAAAAAAAAAAAAAC8BAABfcmVscy8ucmVsc1BLAQItABQABgAIAAAA&#10;IQCjxTJATgIAAK0EAAAOAAAAAAAAAAAAAAAAAC4CAABkcnMvZTJvRG9jLnhtbFBLAQItABQABgAI&#10;AAAAIQB7ej1e3wAAAAkBAAAPAAAAAAAAAAAAAAAAAKgEAABkcnMvZG93bnJldi54bWxQSwUGAAAA&#10;AAQABADzAAAAtAU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6F3544D4" w14:textId="78933C4F" w:rsidR="000B6E6D" w:rsidRDefault="000B6E6D" w:rsidP="00E12F13">
      <w:pPr>
        <w:rPr>
          <w:rFonts w:ascii="ＭＳ ゴシック" w:eastAsia="ＭＳ ゴシック" w:hAnsi="ＭＳ ゴシック"/>
          <w:kern w:val="0"/>
          <w:sz w:val="22"/>
          <w:szCs w:val="22"/>
        </w:rPr>
      </w:pPr>
    </w:p>
    <w:p w14:paraId="7ABE2D3C" w14:textId="776776A8" w:rsidR="000D52F2" w:rsidRDefault="00DA4760"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6E415995">
                <wp:simplePos x="0" y="0"/>
                <wp:positionH relativeFrom="column">
                  <wp:posOffset>558231</wp:posOffset>
                </wp:positionH>
                <wp:positionV relativeFrom="paragraph">
                  <wp:posOffset>355196</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3" type="#_x0000_t202" style="position:absolute;left:0;text-align:left;margin-left:43.95pt;margin-top:27.9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AOvm694AAAAAkBAAAPAAAAZHJzL2Rvd25yZXYueG1sTI9BT4NAEIXvJv6HzZh4&#10;s4saWkCWpjYx6qmxmjS9LewUCOwsYbcU/73jSU+Tmffy5nv5era9mHD0rSMF94sIBFLlTEu1gq/P&#10;l7sEhA+ajO4doYJv9LAurq9ynRl3oQ+c9qEWHEI+0wqaEIZMSl81aLVfuAGJtZMbrQ68jrU0o75w&#10;uO3lQxQtpdUt8YdGD7htsOr2Z6tgs3sv33z1eJpMt8XXw/PQpcdYqdubefMEIuAc/szwi8/oUDBT&#10;6c5kvOgVJKuUnQrimCfraZSsQJR8SKMlyCKX/xsUPwAAAP//AwBQSwECLQAUAAYACAAAACEAtoM4&#10;kv4AAADhAQAAEwAAAAAAAAAAAAAAAAAAAAAAW0NvbnRlbnRfVHlwZXNdLnhtbFBLAQItABQABgAI&#10;AAAAIQA4/SH/1gAAAJQBAAALAAAAAAAAAAAAAAAAAC8BAABfcmVscy8ucmVsc1BLAQItABQABgAI&#10;AAAAIQCeFhuqUAIAAK4EAAAOAAAAAAAAAAAAAAAAAC4CAABkcnMvZTJvRG9jLnhtbFBLAQItABQA&#10;BgAIAAAAIQAOvm694AAAAAkBAAAPAAAAAAAAAAAAAAAAAKoEAABkcnMvZG93bnJldi54bWxQSwUG&#10;AAAAAAQABADzAAAAtw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4"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5"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6"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7"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w:lastRenderedPageBreak/>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8"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9"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0"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1"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2"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3"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5ADB50EC"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FA00DD">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4"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5BC10F0"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FA00DD">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0E0CD77C"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FA00DD">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5"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6"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7"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8"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49"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0"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1"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2"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3"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2F086216"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7DBA74B"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FA00DD">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4150ED2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3BA984DA"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4"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5"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6"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7"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8"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9"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0"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1"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2"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16004B5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1EC21C45"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7D39AE2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53F59C86"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452BD6E"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9F9F249"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3"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4"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5"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308F4E73"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14C434A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13B562C1"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6B3A6499"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57A3A82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2C52CF6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749DAE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3CB5394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E8E683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FA00D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20C60F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A00DD">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256A545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0454FE">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70AABED6"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0454FE">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3FBE58E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07264C41"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0454FE">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2B06042"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3C75406D"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1062FF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31B08B5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6"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6F4"/>
    <w:rsid w:val="00022CAE"/>
    <w:rsid w:val="00023B03"/>
    <w:rsid w:val="00026631"/>
    <w:rsid w:val="00034FEA"/>
    <w:rsid w:val="00041819"/>
    <w:rsid w:val="00041823"/>
    <w:rsid w:val="0004352C"/>
    <w:rsid w:val="00043EF8"/>
    <w:rsid w:val="00044528"/>
    <w:rsid w:val="000454FE"/>
    <w:rsid w:val="00052C72"/>
    <w:rsid w:val="000703CE"/>
    <w:rsid w:val="00071582"/>
    <w:rsid w:val="00084376"/>
    <w:rsid w:val="000872C5"/>
    <w:rsid w:val="00087DA8"/>
    <w:rsid w:val="0009185B"/>
    <w:rsid w:val="00093E98"/>
    <w:rsid w:val="00097D60"/>
    <w:rsid w:val="000A5B67"/>
    <w:rsid w:val="000A7716"/>
    <w:rsid w:val="000A7B6F"/>
    <w:rsid w:val="000B1592"/>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032"/>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725"/>
    <w:rsid w:val="00326D67"/>
    <w:rsid w:val="00327137"/>
    <w:rsid w:val="00343251"/>
    <w:rsid w:val="0035021A"/>
    <w:rsid w:val="0035239F"/>
    <w:rsid w:val="003526D7"/>
    <w:rsid w:val="00353178"/>
    <w:rsid w:val="00353BDB"/>
    <w:rsid w:val="00354565"/>
    <w:rsid w:val="00355AC2"/>
    <w:rsid w:val="003565B1"/>
    <w:rsid w:val="003604E8"/>
    <w:rsid w:val="00361C3F"/>
    <w:rsid w:val="0036221F"/>
    <w:rsid w:val="003638F7"/>
    <w:rsid w:val="00363B97"/>
    <w:rsid w:val="003746E9"/>
    <w:rsid w:val="00377D5A"/>
    <w:rsid w:val="00383EE0"/>
    <w:rsid w:val="0038765E"/>
    <w:rsid w:val="00387CB0"/>
    <w:rsid w:val="003963D8"/>
    <w:rsid w:val="003976A3"/>
    <w:rsid w:val="003A498C"/>
    <w:rsid w:val="003A5D9F"/>
    <w:rsid w:val="003B654A"/>
    <w:rsid w:val="003C16D0"/>
    <w:rsid w:val="003C2E53"/>
    <w:rsid w:val="003C55AE"/>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42DAA"/>
    <w:rsid w:val="004518AA"/>
    <w:rsid w:val="00453CC6"/>
    <w:rsid w:val="00456AAD"/>
    <w:rsid w:val="00461BFA"/>
    <w:rsid w:val="00461DF9"/>
    <w:rsid w:val="004640CE"/>
    <w:rsid w:val="004645FE"/>
    <w:rsid w:val="00467BCC"/>
    <w:rsid w:val="00471EF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05E4"/>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0157"/>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BC9"/>
    <w:rsid w:val="009D0C96"/>
    <w:rsid w:val="009D7323"/>
    <w:rsid w:val="009E373D"/>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AF44D7"/>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596A"/>
    <w:rsid w:val="00CD623E"/>
    <w:rsid w:val="00CE0B13"/>
    <w:rsid w:val="00CE0E61"/>
    <w:rsid w:val="00CE141F"/>
    <w:rsid w:val="00CE251B"/>
    <w:rsid w:val="00CE3DBC"/>
    <w:rsid w:val="00CF0290"/>
    <w:rsid w:val="00CF28A6"/>
    <w:rsid w:val="00D01FA8"/>
    <w:rsid w:val="00D1394B"/>
    <w:rsid w:val="00D22972"/>
    <w:rsid w:val="00D23F34"/>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760"/>
    <w:rsid w:val="00DA4B09"/>
    <w:rsid w:val="00DB1CDD"/>
    <w:rsid w:val="00DB6537"/>
    <w:rsid w:val="00DB69E5"/>
    <w:rsid w:val="00DC7422"/>
    <w:rsid w:val="00DD0271"/>
    <w:rsid w:val="00DD16E7"/>
    <w:rsid w:val="00DD2486"/>
    <w:rsid w:val="00DD7F6F"/>
    <w:rsid w:val="00DE335F"/>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2EE0"/>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00DD"/>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869C72BF-4CF4-4AED-AB23-B033C190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3988</Words>
  <Characters>4402</Characters>
  <Application>Microsoft Office Word</Application>
  <DocSecurity>0</DocSecurity>
  <Lines>726</Lines>
  <Paragraphs>399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TANIGUCHI, Masayuki</cp:lastModifiedBy>
  <cp:revision>5</cp:revision>
  <dcterms:created xsi:type="dcterms:W3CDTF">2026-01-15T05:34:00Z</dcterms:created>
  <dcterms:modified xsi:type="dcterms:W3CDTF">2026-01-15T05:58:00Z</dcterms:modified>
</cp:coreProperties>
</file>